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572C1">
      <w:pPr>
        <w:spacing w:before="29"/>
        <w:ind w:left="176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华北电力大学 202</w:t>
      </w:r>
      <w:r>
        <w:rPr>
          <w:rFonts w:hint="eastAsia" w:ascii="黑体" w:eastAsia="黑体"/>
          <w:b/>
          <w:sz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eastAsia="黑体"/>
          <w:b/>
          <w:sz w:val="32"/>
        </w:rPr>
        <w:t xml:space="preserve"> 年硕士生入学考试复试</w:t>
      </w:r>
      <w:r>
        <w:rPr>
          <w:rFonts w:hint="eastAsia" w:ascii="黑体" w:eastAsia="黑体"/>
          <w:b/>
          <w:sz w:val="32"/>
          <w:lang w:val="en-US"/>
        </w:rPr>
        <w:t>科目</w:t>
      </w:r>
      <w:r>
        <w:rPr>
          <w:rFonts w:hint="eastAsia" w:ascii="黑体" w:eastAsia="黑体"/>
          <w:b/>
          <w:sz w:val="32"/>
        </w:rPr>
        <w:t>考试大纲</w:t>
      </w:r>
    </w:p>
    <w:p w14:paraId="7BC0526A">
      <w:pPr>
        <w:pStyle w:val="2"/>
        <w:spacing w:before="5"/>
        <w:rPr>
          <w:rFonts w:hint="eastAsia" w:ascii="黑体"/>
          <w:b/>
          <w:sz w:val="37"/>
        </w:rPr>
      </w:pPr>
    </w:p>
    <w:p w14:paraId="1C26B9E6">
      <w:pPr>
        <w:pStyle w:val="2"/>
        <w:ind w:left="12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考试科目编号：0502</w:t>
      </w:r>
    </w:p>
    <w:p w14:paraId="14B67D1B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37EA3267">
      <w:pPr>
        <w:pStyle w:val="2"/>
        <w:spacing w:line="417" w:lineRule="auto"/>
        <w:ind w:left="658" w:right="4926" w:hanging="538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考试科目名称：材料分析方法</w:t>
      </w:r>
      <w:r>
        <w:rPr>
          <w:rFonts w:ascii="仿宋" w:hAnsi="仿宋" w:eastAsia="仿宋"/>
          <w:b/>
          <w:bCs/>
        </w:rPr>
        <w:t>一、考试的总体要求</w:t>
      </w:r>
    </w:p>
    <w:p w14:paraId="2E9C58BC">
      <w:pPr>
        <w:pStyle w:val="2"/>
        <w:spacing w:line="417" w:lineRule="auto"/>
        <w:ind w:left="120" w:right="260" w:firstLine="537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掌握材料主要分析技术方法的基本原理和应用，涉及：晶体学基础知识、X 射线衍学基础、电子显微分析及光谱分析等。综合运用所学的原理及技术等</w:t>
      </w:r>
      <w:r>
        <w:rPr>
          <w:rFonts w:ascii="仿宋" w:hAnsi="仿宋" w:eastAsia="仿宋"/>
          <w:spacing w:val="-10"/>
        </w:rPr>
        <w:t>分析和解决材料特性问题。</w:t>
      </w:r>
    </w:p>
    <w:p w14:paraId="3F04EA6E">
      <w:pPr>
        <w:pStyle w:val="2"/>
        <w:spacing w:line="358" w:lineRule="exact"/>
        <w:ind w:left="658"/>
        <w:rPr>
          <w:rFonts w:hint="eastAsia" w:ascii="仿宋" w:hAnsi="仿宋" w:eastAsia="仿宋"/>
          <w:b/>
          <w:bCs/>
        </w:rPr>
      </w:pPr>
      <w:r>
        <w:rPr>
          <w:rFonts w:ascii="仿宋" w:hAnsi="仿宋" w:eastAsia="仿宋"/>
          <w:b/>
          <w:bCs/>
        </w:rPr>
        <w:t>二、考试的内容</w:t>
      </w:r>
    </w:p>
    <w:p w14:paraId="3AA25866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0126241D">
      <w:pPr>
        <w:pStyle w:val="6"/>
        <w:numPr>
          <w:ilvl w:val="0"/>
          <w:numId w:val="1"/>
        </w:numPr>
        <w:tabs>
          <w:tab w:val="left" w:pos="1080"/>
        </w:tabs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X 射线物理学基础</w:t>
      </w:r>
    </w:p>
    <w:p w14:paraId="2F4424F5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644A9C3A">
      <w:pPr>
        <w:pStyle w:val="2"/>
        <w:spacing w:line="417" w:lineRule="auto"/>
        <w:ind w:left="120" w:right="258" w:firstLine="537"/>
        <w:rPr>
          <w:rFonts w:hint="eastAsia" w:ascii="仿宋" w:hAnsi="仿宋" w:eastAsia="仿宋"/>
        </w:rPr>
      </w:pPr>
      <w:r>
        <w:rPr>
          <w:rFonts w:ascii="仿宋" w:hAnsi="仿宋" w:eastAsia="仿宋"/>
          <w:spacing w:val="-25"/>
        </w:rPr>
        <w:t xml:space="preserve">掌握 </w:t>
      </w:r>
      <w:r>
        <w:rPr>
          <w:rFonts w:ascii="仿宋" w:hAnsi="仿宋" w:eastAsia="仿宋"/>
        </w:rPr>
        <w:t>X</w:t>
      </w:r>
      <w:r>
        <w:rPr>
          <w:rFonts w:ascii="仿宋" w:hAnsi="仿宋" w:eastAsia="仿宋"/>
          <w:spacing w:val="-16"/>
        </w:rPr>
        <w:t xml:space="preserve"> 射线的本质、连续 </w:t>
      </w:r>
      <w:r>
        <w:rPr>
          <w:rFonts w:ascii="仿宋" w:hAnsi="仿宋" w:eastAsia="仿宋"/>
        </w:rPr>
        <w:t>X</w:t>
      </w:r>
      <w:r>
        <w:rPr>
          <w:rFonts w:ascii="仿宋" w:hAnsi="仿宋" w:eastAsia="仿宋"/>
          <w:spacing w:val="-20"/>
        </w:rPr>
        <w:t xml:space="preserve"> 射线谱、特征 </w:t>
      </w:r>
      <w:r>
        <w:rPr>
          <w:rFonts w:ascii="仿宋" w:hAnsi="仿宋" w:eastAsia="仿宋"/>
        </w:rPr>
        <w:t>X</w:t>
      </w:r>
      <w:r>
        <w:rPr>
          <w:rFonts w:ascii="仿宋" w:hAnsi="仿宋" w:eastAsia="仿宋"/>
          <w:spacing w:val="-15"/>
        </w:rPr>
        <w:t xml:space="preserve"> 射线谱、</w:t>
      </w:r>
      <w:r>
        <w:rPr>
          <w:rFonts w:ascii="仿宋" w:hAnsi="仿宋" w:eastAsia="仿宋"/>
        </w:rPr>
        <w:t>X</w:t>
      </w:r>
      <w:r>
        <w:rPr>
          <w:rFonts w:ascii="仿宋" w:hAnsi="仿宋" w:eastAsia="仿宋"/>
          <w:spacing w:val="-16"/>
        </w:rPr>
        <w:t xml:space="preserve"> 射线的吸收、X</w:t>
      </w:r>
      <w:r>
        <w:rPr>
          <w:rFonts w:ascii="仿宋" w:hAnsi="仿宋" w:eastAsia="仿宋"/>
          <w:spacing w:val="-12"/>
        </w:rPr>
        <w:t xml:space="preserve"> 射线的透射、</w:t>
      </w:r>
      <w:r>
        <w:rPr>
          <w:rFonts w:ascii="仿宋" w:hAnsi="仿宋" w:eastAsia="仿宋"/>
        </w:rPr>
        <w:t>X</w:t>
      </w:r>
      <w:r>
        <w:rPr>
          <w:rFonts w:ascii="仿宋" w:hAnsi="仿宋" w:eastAsia="仿宋"/>
          <w:spacing w:val="-12"/>
        </w:rPr>
        <w:t xml:space="preserve"> 射线的散射。</w:t>
      </w:r>
    </w:p>
    <w:p w14:paraId="1D583E84">
      <w:pPr>
        <w:pStyle w:val="6"/>
        <w:numPr>
          <w:ilvl w:val="0"/>
          <w:numId w:val="1"/>
        </w:numPr>
        <w:tabs>
          <w:tab w:val="left" w:pos="1080"/>
        </w:tabs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X 射线衍的几何原理</w:t>
      </w:r>
    </w:p>
    <w:p w14:paraId="5D631D3A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3E651AA7">
      <w:pPr>
        <w:pStyle w:val="2"/>
        <w:spacing w:line="417" w:lineRule="auto"/>
        <w:ind w:left="120" w:right="186" w:firstLine="537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掌握空间点阵、晶体投影相关概念、倒易点阵、布拉格方程、倒易空间的衍射矢量方程和埃瓦尔德图解。</w:t>
      </w:r>
    </w:p>
    <w:p w14:paraId="47BC57AD">
      <w:pPr>
        <w:pStyle w:val="6"/>
        <w:numPr>
          <w:ilvl w:val="0"/>
          <w:numId w:val="1"/>
        </w:numPr>
        <w:tabs>
          <w:tab w:val="left" w:pos="1080"/>
        </w:tabs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X 射线衍束强度</w:t>
      </w:r>
    </w:p>
    <w:p w14:paraId="1F7C6DFA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0393D967">
      <w:pPr>
        <w:pStyle w:val="2"/>
        <w:spacing w:line="417" w:lineRule="auto"/>
        <w:ind w:left="120" w:right="259" w:firstLine="537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  <w:spacing w:val="-9"/>
        </w:rPr>
        <w:t xml:space="preserve">理解一个电子对 </w:t>
      </w:r>
      <w:r>
        <w:rPr>
          <w:rFonts w:ascii="仿宋" w:hAnsi="仿宋" w:eastAsia="仿宋"/>
        </w:rPr>
        <w:t>X</w:t>
      </w:r>
      <w:r>
        <w:rPr>
          <w:rFonts w:ascii="仿宋" w:hAnsi="仿宋" w:eastAsia="仿宋"/>
          <w:spacing w:val="-17"/>
        </w:rPr>
        <w:t xml:space="preserve"> 射线的散射、一个原子对 </w:t>
      </w:r>
      <w:r>
        <w:rPr>
          <w:rFonts w:ascii="仿宋" w:hAnsi="仿宋" w:eastAsia="仿宋"/>
        </w:rPr>
        <w:t>X</w:t>
      </w:r>
      <w:r>
        <w:rPr>
          <w:rFonts w:ascii="仿宋" w:hAnsi="仿宋" w:eastAsia="仿宋"/>
          <w:spacing w:val="-14"/>
        </w:rPr>
        <w:t xml:space="preserve"> 射线的散射、单胞</w:t>
      </w:r>
      <w:r>
        <w:rPr>
          <w:rFonts w:ascii="仿宋" w:hAnsi="仿宋" w:eastAsia="仿宋"/>
          <w:spacing w:val="-45"/>
        </w:rPr>
        <w:t xml:space="preserve">对 </w:t>
      </w:r>
      <w:r>
        <w:rPr>
          <w:rFonts w:ascii="仿宋" w:hAnsi="仿宋" w:eastAsia="仿宋"/>
        </w:rPr>
        <w:t>X</w:t>
      </w:r>
      <w:r>
        <w:rPr>
          <w:rFonts w:ascii="仿宋" w:hAnsi="仿宋" w:eastAsia="仿宋"/>
          <w:spacing w:val="-15"/>
        </w:rPr>
        <w:t xml:space="preserve"> 射线的散射，掌握结构因子计算；理解衍射积分强度和洛伦兹</w:t>
      </w:r>
      <w:r>
        <w:rPr>
          <w:rFonts w:hint="eastAsia" w:ascii="仿宋" w:hAnsi="仿宋" w:eastAsia="仿宋"/>
          <w:spacing w:val="-15"/>
        </w:rPr>
        <w:t>因子</w:t>
      </w:r>
      <w:r>
        <w:rPr>
          <w:rFonts w:ascii="仿宋" w:hAnsi="仿宋" w:eastAsia="仿宋"/>
          <w:spacing w:val="-17"/>
        </w:rPr>
        <w:t>、</w:t>
      </w:r>
      <w:r>
        <w:rPr>
          <w:rFonts w:ascii="仿宋" w:hAnsi="仿宋" w:eastAsia="仿宋"/>
          <w:spacing w:val="-12"/>
        </w:rPr>
        <w:t>多晶体衍射的积分强度</w:t>
      </w:r>
      <w:r>
        <w:rPr>
          <w:rFonts w:hint="eastAsia" w:ascii="仿宋" w:hAnsi="仿宋" w:eastAsia="仿宋"/>
          <w:spacing w:val="-12"/>
        </w:rPr>
        <w:t>的影响因素</w:t>
      </w:r>
      <w:r>
        <w:rPr>
          <w:rFonts w:ascii="仿宋" w:hAnsi="仿宋" w:eastAsia="仿宋"/>
          <w:spacing w:val="-12"/>
        </w:rPr>
        <w:t>。</w:t>
      </w:r>
    </w:p>
    <w:p w14:paraId="5A080621">
      <w:pPr>
        <w:pStyle w:val="6"/>
        <w:numPr>
          <w:ilvl w:val="0"/>
          <w:numId w:val="1"/>
        </w:numPr>
        <w:tabs>
          <w:tab w:val="left" w:pos="1080"/>
        </w:tabs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X 射线衍射方法</w:t>
      </w:r>
    </w:p>
    <w:p w14:paraId="00E0054C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2D37D7E7">
      <w:pPr>
        <w:pStyle w:val="2"/>
        <w:ind w:left="628"/>
        <w:rPr>
          <w:rFonts w:hint="eastAsia" w:ascii="仿宋" w:hAnsi="仿宋" w:eastAsia="仿宋"/>
        </w:rPr>
      </w:pPr>
      <w:r>
        <w:rPr>
          <w:rFonts w:ascii="仿宋" w:hAnsi="仿宋" w:eastAsia="仿宋"/>
          <w:spacing w:val="-21"/>
        </w:rPr>
        <w:t xml:space="preserve">了解照相法和衍射仪法，了解 </w:t>
      </w:r>
      <w:r>
        <w:rPr>
          <w:rFonts w:ascii="仿宋" w:hAnsi="仿宋" w:eastAsia="仿宋"/>
        </w:rPr>
        <w:t>X</w:t>
      </w:r>
      <w:r>
        <w:rPr>
          <w:rFonts w:ascii="仿宋" w:hAnsi="仿宋" w:eastAsia="仿宋"/>
          <w:spacing w:val="-24"/>
        </w:rPr>
        <w:t xml:space="preserve"> 射线衍射仪的基本组成和工作原理。</w:t>
      </w:r>
    </w:p>
    <w:p w14:paraId="52628199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2812B744">
      <w:pPr>
        <w:pStyle w:val="6"/>
        <w:numPr>
          <w:ilvl w:val="0"/>
          <w:numId w:val="1"/>
        </w:numPr>
        <w:tabs>
          <w:tab w:val="left" w:pos="1080"/>
        </w:tabs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X 射线物相分析</w:t>
      </w:r>
    </w:p>
    <w:p w14:paraId="62C084DD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5E8FE581">
      <w:pPr>
        <w:pStyle w:val="2"/>
        <w:spacing w:before="34"/>
        <w:ind w:left="658"/>
        <w:rPr>
          <w:rFonts w:ascii="仿宋" w:hAnsi="仿宋" w:eastAsia="仿宋"/>
        </w:rPr>
      </w:pPr>
      <w:r>
        <w:rPr>
          <w:rFonts w:ascii="仿宋" w:hAnsi="仿宋" w:eastAsia="仿宋"/>
        </w:rPr>
        <w:t>掌握物相定性与定量分析的原理和方法。</w:t>
      </w:r>
    </w:p>
    <w:p w14:paraId="0D605575">
      <w:pPr>
        <w:pStyle w:val="2"/>
        <w:spacing w:before="34"/>
        <w:ind w:left="658"/>
        <w:rPr>
          <w:rFonts w:hint="eastAsia" w:ascii="仿宋" w:hAnsi="仿宋" w:eastAsia="仿宋"/>
        </w:rPr>
      </w:pPr>
    </w:p>
    <w:p w14:paraId="7FE09C24">
      <w:pPr>
        <w:pStyle w:val="6"/>
        <w:numPr>
          <w:ilvl w:val="0"/>
          <w:numId w:val="1"/>
        </w:numPr>
        <w:tabs>
          <w:tab w:val="left" w:pos="1078"/>
        </w:tabs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电子</w:t>
      </w:r>
      <w:r>
        <w:rPr>
          <w:rFonts w:hint="eastAsia" w:ascii="仿宋" w:hAnsi="仿宋" w:eastAsia="仿宋"/>
          <w:sz w:val="28"/>
        </w:rPr>
        <w:t>光学及电子显微学基础</w:t>
      </w:r>
    </w:p>
    <w:p w14:paraId="66D30DAF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49C0CF1C">
      <w:pPr>
        <w:pStyle w:val="2"/>
        <w:spacing w:before="1" w:line="417" w:lineRule="auto"/>
        <w:ind w:left="120" w:right="257" w:firstLine="537"/>
        <w:jc w:val="both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pacing w:val="-4"/>
        </w:rPr>
        <w:t>理解光学显微镜的分辨率极限，掌握电磁透镜的像差与分辨率、景深与焦长；掌握</w:t>
      </w:r>
      <w:r>
        <w:rPr>
          <w:rFonts w:ascii="仿宋" w:hAnsi="仿宋" w:eastAsia="仿宋"/>
          <w:spacing w:val="-13"/>
        </w:rPr>
        <w:t>高能电子与样品物质交互作用产生的电子信息，包</w:t>
      </w:r>
      <w:r>
        <w:rPr>
          <w:rFonts w:ascii="仿宋" w:hAnsi="仿宋" w:eastAsia="仿宋"/>
          <w:spacing w:val="-10"/>
        </w:rPr>
        <w:t xml:space="preserve">括背散射电子、二次电子、吸收电子、透射电子、特征 </w:t>
      </w:r>
      <w:r>
        <w:rPr>
          <w:rFonts w:ascii="仿宋" w:hAnsi="仿宋" w:eastAsia="仿宋"/>
        </w:rPr>
        <w:t>X</w:t>
      </w:r>
      <w:r>
        <w:rPr>
          <w:rFonts w:ascii="仿宋" w:hAnsi="仿宋" w:eastAsia="仿宋"/>
          <w:spacing w:val="-17"/>
        </w:rPr>
        <w:t xml:space="preserve"> 射线、俄歇电子等。</w:t>
      </w:r>
    </w:p>
    <w:p w14:paraId="04D64B87">
      <w:pPr>
        <w:pStyle w:val="6"/>
        <w:numPr>
          <w:ilvl w:val="0"/>
          <w:numId w:val="1"/>
        </w:numPr>
        <w:tabs>
          <w:tab w:val="left" w:pos="1080"/>
        </w:tabs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透射电子显微分析</w:t>
      </w:r>
    </w:p>
    <w:p w14:paraId="2C1C322A">
      <w:pPr>
        <w:pStyle w:val="2"/>
        <w:spacing w:before="8"/>
        <w:rPr>
          <w:rFonts w:hint="eastAsia" w:ascii="仿宋" w:hAnsi="仿宋" w:eastAsia="仿宋"/>
          <w:sz w:val="20"/>
        </w:rPr>
      </w:pPr>
    </w:p>
    <w:p w14:paraId="50BD50F8">
      <w:pPr>
        <w:pStyle w:val="2"/>
        <w:spacing w:before="1" w:line="417" w:lineRule="auto"/>
        <w:ind w:left="120" w:right="259" w:firstLine="537"/>
        <w:jc w:val="both"/>
        <w:rPr>
          <w:rFonts w:hint="eastAsia" w:ascii="仿宋" w:hAnsi="仿宋" w:eastAsia="仿宋"/>
          <w:spacing w:val="-5"/>
        </w:rPr>
      </w:pPr>
      <w:r>
        <w:rPr>
          <w:rFonts w:ascii="仿宋" w:hAnsi="仿宋" w:eastAsia="仿宋"/>
          <w:spacing w:val="-5"/>
        </w:rPr>
        <w:t>理解透射电镜的结构和成像原理、样品制备方法；掌握电子衍射</w:t>
      </w:r>
      <w:r>
        <w:rPr>
          <w:rFonts w:hint="eastAsia" w:ascii="仿宋" w:hAnsi="仿宋" w:eastAsia="仿宋"/>
          <w:spacing w:val="-5"/>
        </w:rPr>
        <w:t>原理和选区电子衍射方法，</w:t>
      </w:r>
      <w:r>
        <w:rPr>
          <w:rFonts w:ascii="仿宋" w:hAnsi="仿宋" w:eastAsia="仿宋"/>
          <w:spacing w:val="-5"/>
        </w:rPr>
        <w:t>了解电子像衬度分类，理解衍衬成像原理和质厚衬度原理。</w:t>
      </w:r>
    </w:p>
    <w:p w14:paraId="09D82086">
      <w:pPr>
        <w:pStyle w:val="6"/>
        <w:numPr>
          <w:ilvl w:val="0"/>
          <w:numId w:val="1"/>
        </w:numPr>
        <w:tabs>
          <w:tab w:val="left" w:pos="1080"/>
        </w:tabs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扫描电子显微分析</w:t>
      </w:r>
    </w:p>
    <w:p w14:paraId="436473C5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7FBA2427">
      <w:pPr>
        <w:pStyle w:val="2"/>
        <w:spacing w:line="417" w:lineRule="auto"/>
        <w:ind w:left="120" w:right="119" w:firstLine="537"/>
        <w:rPr>
          <w:rFonts w:hint="eastAsia" w:ascii="仿宋" w:hAnsi="仿宋" w:eastAsia="仿宋"/>
        </w:rPr>
      </w:pPr>
      <w:r>
        <w:rPr>
          <w:rFonts w:ascii="仿宋" w:hAnsi="仿宋" w:eastAsia="仿宋"/>
          <w:spacing w:val="-15"/>
        </w:rPr>
        <w:t>理解扫描电镜的工作原理、仪器结构、性能参数及样品制备方法； 了解扫描电镜在材料研究中的应用；掌握表面形貌衬度及其应用</w:t>
      </w:r>
      <w:r>
        <w:rPr>
          <w:rFonts w:hint="eastAsia" w:ascii="仿宋" w:hAnsi="仿宋" w:eastAsia="仿宋"/>
          <w:spacing w:val="-15"/>
        </w:rPr>
        <w:t>、原子序数衬度及其应用</w:t>
      </w:r>
      <w:r>
        <w:rPr>
          <w:rFonts w:ascii="仿宋" w:hAnsi="仿宋" w:eastAsia="仿宋"/>
          <w:spacing w:val="-15"/>
        </w:rPr>
        <w:t>。</w:t>
      </w:r>
    </w:p>
    <w:p w14:paraId="2309F956">
      <w:pPr>
        <w:pStyle w:val="6"/>
        <w:numPr>
          <w:ilvl w:val="0"/>
          <w:numId w:val="1"/>
        </w:numPr>
        <w:tabs>
          <w:tab w:val="left" w:pos="1078"/>
        </w:tabs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扫描探针显微分析</w:t>
      </w:r>
    </w:p>
    <w:p w14:paraId="50AF13CF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6797D58C">
      <w:pPr>
        <w:pStyle w:val="2"/>
        <w:spacing w:line="417" w:lineRule="auto"/>
        <w:ind w:left="120" w:right="186" w:firstLine="537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理解扫描隧道显微镜和原子力显微镜的基本原理、工作模式、适用范围及应用方式。</w:t>
      </w:r>
    </w:p>
    <w:p w14:paraId="46E84489">
      <w:pPr>
        <w:pStyle w:val="6"/>
        <w:numPr>
          <w:ilvl w:val="0"/>
          <w:numId w:val="1"/>
        </w:numPr>
        <w:tabs>
          <w:tab w:val="left" w:pos="1080"/>
        </w:tabs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光谱分析</w:t>
      </w:r>
    </w:p>
    <w:p w14:paraId="579A0C17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4BCEC3C5">
      <w:pPr>
        <w:pStyle w:val="2"/>
        <w:spacing w:line="417" w:lineRule="auto"/>
        <w:ind w:left="120" w:right="258" w:firstLine="537"/>
        <w:rPr>
          <w:rFonts w:hint="eastAsia" w:ascii="仿宋" w:hAnsi="仿宋" w:eastAsia="仿宋"/>
        </w:rPr>
      </w:pPr>
      <w:r>
        <w:rPr>
          <w:rFonts w:ascii="仿宋" w:hAnsi="仿宋" w:eastAsia="仿宋"/>
          <w:spacing w:val="-15"/>
        </w:rPr>
        <w:t>了解紫外-可见吸收光谱、激光拉曼光谱、红外光谱的基本原理、仪器结构、实验方法，以及在材料科学中的应用。</w:t>
      </w:r>
    </w:p>
    <w:p w14:paraId="5639283E">
      <w:pPr>
        <w:pStyle w:val="2"/>
        <w:spacing w:line="358" w:lineRule="exact"/>
        <w:ind w:left="658"/>
        <w:rPr>
          <w:rFonts w:hint="eastAsia" w:ascii="仿宋" w:hAnsi="仿宋" w:eastAsia="仿宋"/>
          <w:b/>
          <w:bCs/>
        </w:rPr>
      </w:pPr>
      <w:r>
        <w:rPr>
          <w:rFonts w:ascii="仿宋" w:hAnsi="仿宋" w:eastAsia="仿宋"/>
          <w:b/>
          <w:bCs/>
        </w:rPr>
        <w:t>三、考试的题型</w:t>
      </w:r>
    </w:p>
    <w:p w14:paraId="69C9BDE5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7B86DF31">
      <w:pPr>
        <w:pStyle w:val="2"/>
        <w:spacing w:line="360" w:lineRule="auto"/>
        <w:ind w:left="658" w:right="3272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选择题、名词解释题、简答题、论述题</w:t>
      </w:r>
      <w:r>
        <w:rPr>
          <w:rFonts w:ascii="仿宋" w:hAnsi="仿宋" w:eastAsia="仿宋"/>
          <w:b/>
          <w:bCs/>
        </w:rPr>
        <w:t>四、参考书目</w:t>
      </w:r>
    </w:p>
    <w:p w14:paraId="662E90F0">
      <w:pPr>
        <w:pStyle w:val="6"/>
        <w:numPr>
          <w:ilvl w:val="0"/>
          <w:numId w:val="2"/>
        </w:numPr>
        <w:tabs>
          <w:tab w:val="left" w:pos="1042"/>
        </w:tabs>
        <w:spacing w:before="20" w:line="240" w:lineRule="auto"/>
        <w:ind w:left="1044" w:hanging="386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spacing w:val="-5"/>
          <w:sz w:val="28"/>
        </w:rPr>
        <w:t xml:space="preserve">《材料分析方法》 周玉等主编 哈尔滨工业大学出版社 </w:t>
      </w:r>
      <w:r>
        <w:rPr>
          <w:rFonts w:ascii="仿宋" w:hAnsi="仿宋" w:eastAsia="仿宋"/>
          <w:sz w:val="28"/>
        </w:rPr>
        <w:t>2020</w:t>
      </w:r>
    </w:p>
    <w:p w14:paraId="237B2DD8">
      <w:pPr>
        <w:pStyle w:val="2"/>
        <w:spacing w:before="9"/>
        <w:rPr>
          <w:rFonts w:hint="eastAsia" w:ascii="仿宋" w:hAnsi="仿宋" w:eastAsia="仿宋"/>
          <w:sz w:val="20"/>
        </w:rPr>
      </w:pPr>
    </w:p>
    <w:p w14:paraId="479A737C">
      <w:pPr>
        <w:pStyle w:val="6"/>
        <w:tabs>
          <w:tab w:val="left" w:pos="1078"/>
        </w:tabs>
        <w:ind w:left="658" w:firstLine="0"/>
        <w:rPr>
          <w:rFonts w:hint="eastAsia" w:ascii="仿宋" w:hAnsi="仿宋" w:eastAsia="仿宋"/>
          <w:sz w:val="28"/>
        </w:rPr>
      </w:pPr>
    </w:p>
    <w:sectPr>
      <w:pgSz w:w="11910" w:h="16840"/>
      <w:pgMar w:top="152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79" w:hanging="422"/>
        <w:jc w:val="left"/>
      </w:pPr>
      <w:rPr>
        <w:rFonts w:hint="default" w:ascii="宋体" w:hAnsi="宋体" w:eastAsia="宋体" w:cs="宋体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0" w:hanging="4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1" w:hanging="4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1" w:hanging="4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2" w:hanging="4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83" w:hanging="4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43" w:hanging="4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04" w:hanging="4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65" w:hanging="422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42" w:hanging="384"/>
        <w:jc w:val="left"/>
      </w:pPr>
      <w:rPr>
        <w:rFonts w:hint="default" w:ascii="宋体" w:hAnsi="宋体" w:eastAsia="宋体" w:cs="宋体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04" w:hanging="3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69" w:hanging="3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3" w:hanging="3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8" w:hanging="3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63" w:hanging="3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7" w:hanging="3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2" w:hanging="3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7" w:hanging="384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Zjc5YzYzNjRiODIwMDNiMmJkZTljNjQ5MWRkMWMifQ=="/>
    <w:docVar w:name="KSO_WPS_MARK_KEY" w:val="47f6f0d0-571d-4fa8-98a4-d1ccd55bd48a"/>
  </w:docVars>
  <w:rsids>
    <w:rsidRoot w:val="00EC3BA2"/>
    <w:rsid w:val="00411A23"/>
    <w:rsid w:val="00513DBB"/>
    <w:rsid w:val="0060044A"/>
    <w:rsid w:val="007228C3"/>
    <w:rsid w:val="009456E4"/>
    <w:rsid w:val="00D82F05"/>
    <w:rsid w:val="00EC3BA2"/>
    <w:rsid w:val="00F10CC3"/>
    <w:rsid w:val="05672CCF"/>
    <w:rsid w:val="0C0D692C"/>
    <w:rsid w:val="0E3B3EAA"/>
    <w:rsid w:val="0EC13BBF"/>
    <w:rsid w:val="1AB12894"/>
    <w:rsid w:val="42A67168"/>
    <w:rsid w:val="48621EA9"/>
    <w:rsid w:val="5BE74BEC"/>
    <w:rsid w:val="5FF7587C"/>
    <w:rsid w:val="797846B3"/>
    <w:rsid w:val="EF25D815"/>
    <w:rsid w:val="EFDBEB8A"/>
    <w:rsid w:val="F8DFA5F3"/>
    <w:rsid w:val="FF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line="358" w:lineRule="exact"/>
      <w:ind w:left="1079" w:hanging="422"/>
    </w:p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正文文本 字符"/>
    <w:basedOn w:val="4"/>
    <w:link w:val="2"/>
    <w:uiPriority w:val="1"/>
    <w:rPr>
      <w:rFonts w:ascii="宋体" w:hAnsi="宋体" w:eastAsia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754</Characters>
  <Lines>6</Lines>
  <Paragraphs>1</Paragraphs>
  <TotalTime>11</TotalTime>
  <ScaleCrop>false</ScaleCrop>
  <LinksUpToDate>false</LinksUpToDate>
  <CharactersWithSpaces>885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2025-09-19T08:16:00Z</dcterms:created>
  <dc:creator>周周</dc:creator>
  <cp:lastModifiedBy>周周</cp:lastModifiedBy>
  <dcterms:modified xsi:type="dcterms:W3CDTF">2025-09-23T21:45:38Z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2024-09-13T00:00:00Z</vt:filetime>
  </property>
  <property fmtid="{D5CDD505-2E9C-101B-9397-08002B2CF9AE}" pid="5" name="KSOProductBuildVer">
    <vt:lpwstr>2052-6.14.0.8924</vt:lpwstr>
  </property>
  <property fmtid="{D5CDD505-2E9C-101B-9397-08002B2CF9AE}" pid="6" name="ICV">
    <vt:lpwstr>2B126247AA54468391984ADDB997DAA9</vt:lpwstr>
  </property>
</Properties>
</file>